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3" w:rsidRDefault="00893B17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1" name="Рисунок 1" descr="C:\Documents and Settings\Admin\Рабочий стол\ЛАЛ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17" w:rsidRDefault="00893B17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7" w:rsidRDefault="00893B17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17" w:rsidRDefault="00893B17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3" w:rsidRDefault="001E3873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3" w:rsidRDefault="001E3873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AA" w:rsidRDefault="006D77AA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3" w:rsidRDefault="001E3873" w:rsidP="00791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B2" w:rsidRDefault="00753CB2" w:rsidP="008B42F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488E" w:rsidRDefault="00B1488E" w:rsidP="008B42F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78B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B42F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0878" w:rsidRDefault="00B60878" w:rsidP="00B60878">
      <w:pPr>
        <w:pStyle w:val="Default"/>
        <w:numPr>
          <w:ilvl w:val="1"/>
          <w:numId w:val="4"/>
        </w:numPr>
        <w:tabs>
          <w:tab w:val="left" w:pos="284"/>
        </w:tabs>
        <w:spacing w:line="240" w:lineRule="auto"/>
        <w:jc w:val="both"/>
        <w:rPr>
          <w:color w:val="auto"/>
        </w:rPr>
      </w:pPr>
      <w:r>
        <w:rPr>
          <w:color w:val="auto"/>
        </w:rPr>
        <w:t>Настоящее Положение о порядке и основании перевода обучающихся муниципального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бюджетного общеобразовательного </w:t>
      </w:r>
      <w:r>
        <w:t>учреждения «Семиозерская ООШ» (далее по</w:t>
      </w:r>
    </w:p>
    <w:p w:rsid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t xml:space="preserve">тексту Порядок) регулирует </w:t>
      </w:r>
      <w:r>
        <w:rPr>
          <w:bCs/>
          <w:color w:val="auto"/>
        </w:rPr>
        <w:t>перевод обучающегося в следующий класс</w:t>
      </w:r>
      <w:r>
        <w:rPr>
          <w:b/>
          <w:bCs/>
          <w:color w:val="auto"/>
        </w:rPr>
        <w:t xml:space="preserve">, </w:t>
      </w:r>
      <w:r>
        <w:rPr>
          <w:color w:val="auto"/>
        </w:rPr>
        <w:t xml:space="preserve"> порядок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rPr>
          <w:color w:val="auto"/>
        </w:rPr>
        <w:t>ликвидации академической задолженности обучающимися, перевод</w:t>
      </w:r>
      <w:r>
        <w:t xml:space="preserve"> обучающихся из</w:t>
      </w:r>
    </w:p>
    <w:p w:rsid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t>МБОУ «СемиозерскаяООШ»  в другие образовательные организации</w:t>
      </w:r>
    </w:p>
    <w:p w:rsidR="00B60878" w:rsidRPr="00B60878" w:rsidRDefault="00B60878" w:rsidP="00B60878">
      <w:pPr>
        <w:pStyle w:val="Default"/>
        <w:numPr>
          <w:ilvl w:val="1"/>
          <w:numId w:val="4"/>
        </w:numPr>
        <w:tabs>
          <w:tab w:val="left" w:pos="284"/>
        </w:tabs>
        <w:spacing w:line="240" w:lineRule="auto"/>
        <w:jc w:val="both"/>
        <w:rPr>
          <w:color w:val="auto"/>
        </w:rPr>
      </w:pPr>
      <w:r>
        <w:rPr>
          <w:color w:val="auto"/>
        </w:rPr>
        <w:t xml:space="preserve">Настоящее Положение </w:t>
      </w:r>
      <w:r>
        <w:t>разработано в соответствии с Федеральным законом от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t>29.12.2012г. № 273-ФЗ «Об образовании в Российской Федерации» (с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>
        <w:t>изменениями),</w:t>
      </w:r>
      <w:r w:rsidR="007C1E65">
        <w:fldChar w:fldCharType="begin"/>
      </w:r>
      <w:r>
        <w:instrText xml:space="preserve"> HYPERLINK "http://ivo.garant.ru/document?id=70553798&amp;sub=0" </w:instrText>
      </w:r>
      <w:r w:rsidR="007C1E65">
        <w:fldChar w:fldCharType="separate"/>
      </w:r>
      <w:r>
        <w:rPr>
          <w:rStyle w:val="ac"/>
          <w:rFonts w:eastAsiaTheme="minorEastAsia"/>
          <w:color w:val="auto"/>
        </w:rPr>
        <w:t>Приказом Министерства образования и науки Российской Федерации от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>
        <w:rPr>
          <w:rStyle w:val="ac"/>
          <w:rFonts w:eastAsiaTheme="minorEastAsia"/>
          <w:color w:val="auto"/>
        </w:rPr>
        <w:t>12 марта 2014г. № 177 «Об утверждении Порядка и условий осуществления перевода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>
        <w:rPr>
          <w:rStyle w:val="ac"/>
          <w:rFonts w:eastAsiaTheme="minorEastAsia"/>
          <w:color w:val="auto"/>
        </w:rPr>
        <w:t>обучающихся из одной организации, осуществляющей образовательную деятельность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>
        <w:rPr>
          <w:rStyle w:val="ac"/>
          <w:rFonts w:eastAsiaTheme="minorEastAsia"/>
          <w:color w:val="auto"/>
        </w:rPr>
        <w:t>по образовательным программам начального общего, основного общего и среднего</w:t>
      </w:r>
    </w:p>
    <w:p w:rsid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>
        <w:rPr>
          <w:rStyle w:val="ac"/>
          <w:rFonts w:eastAsiaTheme="minorEastAsia"/>
          <w:color w:val="auto"/>
        </w:rPr>
        <w:t>общего образования, в другие организации, осуществляющие образовательную</w:t>
      </w:r>
    </w:p>
    <w:p w:rsidR="00B60878" w:rsidRP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rStyle w:val="ac"/>
          <w:color w:val="auto"/>
        </w:rPr>
      </w:pPr>
      <w:r w:rsidRPr="00B60878">
        <w:rPr>
          <w:rStyle w:val="ac"/>
          <w:rFonts w:eastAsiaTheme="minorEastAsia"/>
          <w:color w:val="auto"/>
        </w:rPr>
        <w:t>деятельность по образовательным программам соответствующих уровня и</w:t>
      </w:r>
    </w:p>
    <w:p w:rsidR="00B60878" w:rsidRDefault="00B60878" w:rsidP="00B60878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rPr>
          <w:rStyle w:val="ac"/>
          <w:rFonts w:eastAsiaTheme="minorEastAsia"/>
          <w:color w:val="auto"/>
        </w:rPr>
        <w:t>направленности</w:t>
      </w:r>
      <w:r w:rsidR="007C1E65">
        <w:fldChar w:fldCharType="end"/>
      </w:r>
      <w:r>
        <w:rPr>
          <w:rStyle w:val="ac"/>
          <w:rFonts w:eastAsiaTheme="minorEastAsia"/>
          <w:color w:val="auto"/>
        </w:rPr>
        <w:t xml:space="preserve">», </w:t>
      </w:r>
      <w:r>
        <w:t>Уставом МБОУ “Семиозерская ООШ” (далее по тексту Школа).</w:t>
      </w:r>
    </w:p>
    <w:p w:rsidR="00B60878" w:rsidRPr="00B60878" w:rsidRDefault="00B60878" w:rsidP="00B60878">
      <w:pPr>
        <w:pStyle w:val="Default"/>
        <w:numPr>
          <w:ilvl w:val="1"/>
          <w:numId w:val="4"/>
        </w:numPr>
        <w:tabs>
          <w:tab w:val="left" w:pos="284"/>
        </w:tabs>
        <w:spacing w:line="240" w:lineRule="auto"/>
        <w:jc w:val="both"/>
        <w:rPr>
          <w:color w:val="auto"/>
        </w:rPr>
      </w:pPr>
      <w:r>
        <w:t>Настоящее Положение является обязательным для всех участников образовательных</w:t>
      </w:r>
    </w:p>
    <w:p w:rsidR="00DC1E5B" w:rsidRPr="00753CB2" w:rsidRDefault="00B60878" w:rsidP="00753CB2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>
        <w:t>отношений.</w:t>
      </w:r>
    </w:p>
    <w:p w:rsidR="00B1488E" w:rsidRPr="00B60878" w:rsidRDefault="00B1488E" w:rsidP="00B60878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78">
        <w:rPr>
          <w:rFonts w:ascii="Times New Roman" w:hAnsi="Times New Roman" w:cs="Times New Roman"/>
          <w:sz w:val="24"/>
          <w:szCs w:val="24"/>
        </w:rPr>
        <w:t>Перевод обучающихся в следующий класс</w:t>
      </w:r>
    </w:p>
    <w:p w:rsidR="00B60878" w:rsidRPr="00B60878" w:rsidRDefault="00B1488E" w:rsidP="00B60878">
      <w:pPr>
        <w:pStyle w:val="Default"/>
        <w:numPr>
          <w:ilvl w:val="2"/>
          <w:numId w:val="4"/>
        </w:numPr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bCs/>
          <w:color w:val="auto"/>
        </w:rPr>
        <w:t xml:space="preserve">Основанием для перевода обучающегося в следующий класс являются </w:t>
      </w:r>
      <w:r w:rsidR="00B60878">
        <w:rPr>
          <w:bCs/>
          <w:color w:val="auto"/>
        </w:rPr>
        <w:t>результаты</w:t>
      </w:r>
    </w:p>
    <w:p w:rsidR="00B60878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освоения образовательной программы, в том </w:t>
      </w:r>
      <w:r w:rsidR="00B60878">
        <w:rPr>
          <w:color w:val="auto"/>
        </w:rPr>
        <w:t>числе отдельной части или всего</w:t>
      </w:r>
    </w:p>
    <w:p w:rsidR="00B60878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объема учебного предмета, курса, дисциплины (модуля) </w:t>
      </w:r>
      <w:r w:rsidR="00B60878">
        <w:rPr>
          <w:color w:val="auto"/>
        </w:rPr>
        <w:t>образовательной</w:t>
      </w:r>
    </w:p>
    <w:p w:rsidR="00B60878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программы, сопровождаемые промежу</w:t>
      </w:r>
      <w:r w:rsidR="00B60878">
        <w:rPr>
          <w:color w:val="auto"/>
        </w:rPr>
        <w:t>точной аттестацией обучающихся,</w:t>
      </w:r>
    </w:p>
    <w:p w:rsidR="00B60878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проводимой в формах в соответствии с Поло</w:t>
      </w:r>
      <w:r w:rsidR="00B60878">
        <w:rPr>
          <w:color w:val="auto"/>
        </w:rPr>
        <w:t>жением о форме, периодичности и</w:t>
      </w:r>
    </w:p>
    <w:p w:rsidR="00B60878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порядке текущего контроля успеваем</w:t>
      </w:r>
      <w:r w:rsidR="00B60878">
        <w:rPr>
          <w:color w:val="auto"/>
        </w:rPr>
        <w:t>ости и промежуточной аттестации</w:t>
      </w:r>
    </w:p>
    <w:p w:rsidR="00B1488E" w:rsidRPr="008B42FA" w:rsidRDefault="00B1488E" w:rsidP="00B60878">
      <w:pPr>
        <w:pStyle w:val="Default"/>
        <w:tabs>
          <w:tab w:val="left" w:pos="284"/>
          <w:tab w:val="left" w:pos="426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обучающихся Школы.</w:t>
      </w:r>
    </w:p>
    <w:p w:rsidR="00B60878" w:rsidRPr="00B60878" w:rsidRDefault="00B1488E" w:rsidP="00B60878">
      <w:pPr>
        <w:numPr>
          <w:ilvl w:val="2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Обучающиеся переводного класса, имеющие по всем предметам </w:t>
      </w:r>
      <w:r w:rsidR="009478FF"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триместровые</w:t>
      </w:r>
      <w:r w:rsidR="00B6087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</w:t>
      </w:r>
    </w:p>
    <w:p w:rsidR="00B60878" w:rsidRPr="00B60878" w:rsidRDefault="00B1488E" w:rsidP="00B6087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годовые отметки «5», награждаются похвальн</w:t>
      </w:r>
      <w:r w:rsidR="00B6087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ым листом «За отличные успехи в</w:t>
      </w:r>
    </w:p>
    <w:p w:rsidR="00B1488E" w:rsidRPr="008B42FA" w:rsidRDefault="00B1488E" w:rsidP="00B6087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учении».</w:t>
      </w:r>
    </w:p>
    <w:p w:rsidR="00B60878" w:rsidRDefault="00B1488E" w:rsidP="00B60878">
      <w:pPr>
        <w:numPr>
          <w:ilvl w:val="2"/>
          <w:numId w:val="4"/>
        </w:numPr>
        <w:tabs>
          <w:tab w:val="left" w:pos="284"/>
          <w:tab w:val="left" w:pos="426"/>
        </w:tabs>
        <w:suppressAutoHyphens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Решение о переводе в следующий класс обучающихся 1-8,</w:t>
      </w:r>
      <w:r w:rsidR="00AC131C"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принимается</w:t>
      </w:r>
    </w:p>
    <w:p w:rsidR="00B1488E" w:rsidRPr="008B42FA" w:rsidRDefault="00B1488E" w:rsidP="00B60878">
      <w:pPr>
        <w:tabs>
          <w:tab w:val="left" w:pos="284"/>
          <w:tab w:val="left" w:pos="426"/>
        </w:tabs>
        <w:suppressAutoHyphens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Педагогическим советом </w:t>
      </w:r>
      <w:r w:rsidR="00AC131C" w:rsidRPr="008B42F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C131C"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</w:t>
      </w: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утверждается приказом </w:t>
      </w:r>
      <w:r w:rsidR="00FF3182"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директора </w:t>
      </w:r>
      <w:r w:rsidRPr="008B42FA">
        <w:rPr>
          <w:rFonts w:ascii="Times New Roman" w:hAnsi="Times New Roman" w:cs="Times New Roman"/>
          <w:sz w:val="24"/>
          <w:szCs w:val="24"/>
        </w:rPr>
        <w:t>Школы</w:t>
      </w: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B1488E" w:rsidRPr="00753CB2" w:rsidRDefault="00B1488E" w:rsidP="008B42FA">
      <w:pPr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После издания приказа о переводе обучающихся в следующий класс, классный руководитель обязан в пятидневный срок оформить личные карты обучающихся </w:t>
      </w:r>
      <w:r w:rsidRPr="008B42FA">
        <w:rPr>
          <w:rFonts w:ascii="Times New Roman" w:hAnsi="Times New Roman" w:cs="Times New Roman"/>
          <w:sz w:val="24"/>
          <w:szCs w:val="24"/>
        </w:rPr>
        <w:t>Школы</w:t>
      </w:r>
      <w:r w:rsidRPr="008B42F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B1488E" w:rsidRPr="008B42FA" w:rsidRDefault="00B1488E" w:rsidP="008B42FA">
      <w:pPr>
        <w:pStyle w:val="Default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color w:val="auto"/>
        </w:rPr>
      </w:pPr>
      <w:r w:rsidRPr="008B42FA">
        <w:rPr>
          <w:color w:val="auto"/>
        </w:rPr>
        <w:t xml:space="preserve">Правила условного перевода и порядка ликвидации </w:t>
      </w:r>
      <w:r w:rsidR="002911F1" w:rsidRPr="008B42FA">
        <w:rPr>
          <w:color w:val="auto"/>
        </w:rPr>
        <w:t xml:space="preserve">академической </w:t>
      </w:r>
      <w:r w:rsidRPr="008B42FA">
        <w:rPr>
          <w:color w:val="auto"/>
        </w:rPr>
        <w:t>задолженности обучающимися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3.1. Условный перевод в следующий класс применяется на уровнях начального общего образования, основного общего образования и среднего общего образования.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3.2. Решение об условном переводе обучающихся в </w:t>
      </w:r>
      <w:r w:rsidR="00AC131C" w:rsidRPr="008B42FA">
        <w:rPr>
          <w:color w:val="auto"/>
        </w:rPr>
        <w:t xml:space="preserve">следующий класс </w:t>
      </w:r>
      <w:r w:rsidR="005D0E94" w:rsidRPr="008B42FA">
        <w:rPr>
          <w:color w:val="auto"/>
          <w:kern w:val="2"/>
        </w:rPr>
        <w:t xml:space="preserve">принимается   </w:t>
      </w:r>
      <w:r w:rsidRPr="008B42FA">
        <w:rPr>
          <w:color w:val="auto"/>
        </w:rPr>
        <w:t>Педагогическим советом Школы, который определяет сроки ликвидации академической задолженности в течение месяца с момента образования академической задолженности. Школа обязана создать условия обучающимся для ликвидации академической задолженности и обеспечить контроль своевременности её ликвидации.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3.3. Решение Педагогического совета Школы об условном переводе обучающихся утверждается приказом </w:t>
      </w:r>
      <w:r w:rsidR="00A37469" w:rsidRPr="008B42FA">
        <w:rPr>
          <w:color w:val="auto"/>
        </w:rPr>
        <w:t xml:space="preserve">директора </w:t>
      </w:r>
      <w:r w:rsidRPr="008B42FA">
        <w:rPr>
          <w:color w:val="auto"/>
        </w:rPr>
        <w:t>Школы.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3.4. Для работы с обучающимися, условно переведенными в следующий класс, приказом </w:t>
      </w:r>
      <w:r w:rsidR="00A37469" w:rsidRPr="008B42FA">
        <w:rPr>
          <w:color w:val="auto"/>
        </w:rPr>
        <w:t xml:space="preserve">директора </w:t>
      </w:r>
      <w:r w:rsidRPr="008B42FA">
        <w:rPr>
          <w:color w:val="auto"/>
        </w:rPr>
        <w:t>Школы определяется следующее: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3.4.1. Назначаются учителя, которые помогают обучающимся ликвидировать академическую задолженность, организуют занятия по усвоению учебной программы соответствующего предмета в полном объеме.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3.4.2. Устанавливаются место, время проведения занятий, форма ведения текущего контроля знаний обучающихся, сроки проведения итогового контроля.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3.5. 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 w:rsidRPr="008B42FA">
        <w:rPr>
          <w:color w:val="auto"/>
        </w:rPr>
        <w:lastRenderedPageBreak/>
        <w:t>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1488E" w:rsidRPr="008B42FA" w:rsidRDefault="00B1488E" w:rsidP="008B42F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hAnsi="Times New Roman" w:cs="Times New Roman"/>
          <w:sz w:val="24"/>
          <w:szCs w:val="24"/>
        </w:rPr>
        <w:t>3.6. Обучающиеся обязаны ликвидировать академическую задолженность. С момента образования академической задолженности Школа организует проведение повторной промежуточной аттестации в соответствии со статьей 58 «Промежуточная аттест</w:t>
      </w:r>
      <w:r w:rsidR="00AC131C" w:rsidRPr="008B42FA">
        <w:rPr>
          <w:rFonts w:ascii="Times New Roman" w:hAnsi="Times New Roman" w:cs="Times New Roman"/>
          <w:sz w:val="24"/>
          <w:szCs w:val="24"/>
        </w:rPr>
        <w:t>ация обучающихся» Федерального з</w:t>
      </w:r>
      <w:r w:rsidRPr="008B42FA">
        <w:rPr>
          <w:rFonts w:ascii="Times New Roman" w:hAnsi="Times New Roman" w:cs="Times New Roman"/>
          <w:sz w:val="24"/>
          <w:szCs w:val="24"/>
        </w:rPr>
        <w:t xml:space="preserve">акона от 29.12.2012г. № 273-ФЗ «Об образовании в Российской Федерации» (с изменениями). 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3.7.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3.8. Весь материал, отражающий работу с обучающимися, переведенными условно, вносится в отдельное делопроизводство и хранится в Школе до окончания учебного года.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3.9. Обучающиеся имеют право на организацию учебных занятий для ликвидации академической задолженности.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3.10. Обучающиеся обязаны: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3.10.1. Посещать занятия, организованные Школой.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3.10.2. Ликвидировать академическую задолженность в течение следующего учебного года, в сроки, установленные приказом </w:t>
      </w:r>
      <w:r w:rsidR="00AC131C" w:rsidRPr="008B42FA">
        <w:rPr>
          <w:color w:val="auto"/>
        </w:rPr>
        <w:t xml:space="preserve">директора </w:t>
      </w:r>
      <w:r w:rsidRPr="008B42FA">
        <w:rPr>
          <w:color w:val="auto"/>
        </w:rPr>
        <w:t>Школы.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3.11. Родители (законные представители) обучающихся должны быть в 3-х дневный срок в установленной форме ознакомлены классным руководителем с решением Педагогического совета и приказом </w:t>
      </w:r>
      <w:r w:rsidR="00E570A8" w:rsidRPr="008B42FA">
        <w:rPr>
          <w:color w:val="auto"/>
        </w:rPr>
        <w:t xml:space="preserve">директора </w:t>
      </w:r>
      <w:r w:rsidRPr="008B42FA">
        <w:rPr>
          <w:color w:val="auto"/>
        </w:rPr>
        <w:t xml:space="preserve">Школы, определяющими порядок ликвидации академической задолженности и обязаны </w:t>
      </w:r>
      <w:r w:rsidR="00E31E33" w:rsidRPr="008B42FA">
        <w:rPr>
          <w:color w:val="auto"/>
        </w:rPr>
        <w:t>контролировать выполнение п. 3.10</w:t>
      </w:r>
      <w:r w:rsidRPr="008B42FA">
        <w:rPr>
          <w:color w:val="auto"/>
        </w:rPr>
        <w:t>. настоящего Порядка.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3.12. Итоговая отметка по предмету по окончании срока ликвидации академической задолженности выставляется комиссией по проведению повторной промежуточной аттестации, утвержденной приказом </w:t>
      </w:r>
      <w:r w:rsidR="00DA1AF0" w:rsidRPr="008B42FA">
        <w:rPr>
          <w:color w:val="auto"/>
        </w:rPr>
        <w:t xml:space="preserve">директора </w:t>
      </w:r>
      <w:r w:rsidRPr="008B42FA">
        <w:rPr>
          <w:color w:val="auto"/>
        </w:rPr>
        <w:t>Школы. Результаты ликвидации академической задолженности оформляются протоколом.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 xml:space="preserve">3.13. Выписка из приказа Школы, изданного на основании решения Педагогического совета по результатам повторной промежуточной аттестации обучающегося, о переводе в следующий класс или повторном обучении в предшествующем классе, находится в личной карте обучающегося. </w:t>
      </w:r>
    </w:p>
    <w:p w:rsidR="00B1488E" w:rsidRPr="008B42FA" w:rsidRDefault="00B1488E" w:rsidP="008B42FA">
      <w:pPr>
        <w:pStyle w:val="Default"/>
        <w:tabs>
          <w:tab w:val="left" w:pos="284"/>
        </w:tabs>
        <w:spacing w:line="240" w:lineRule="auto"/>
        <w:jc w:val="both"/>
        <w:rPr>
          <w:color w:val="auto"/>
        </w:rPr>
      </w:pPr>
      <w:r w:rsidRPr="008B42FA">
        <w:rPr>
          <w:color w:val="auto"/>
        </w:rPr>
        <w:t>3.14. Обучающиеся, переведенные условно в следующий класс, в отчете Школы на начало учебного года указываются в составе того класса, в который переведены условно.</w:t>
      </w:r>
    </w:p>
    <w:p w:rsidR="00B1488E" w:rsidRPr="008B42FA" w:rsidRDefault="00B1488E" w:rsidP="008B42FA">
      <w:pPr>
        <w:tabs>
          <w:tab w:val="left" w:pos="284"/>
          <w:tab w:val="left" w:pos="28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82F" w:rsidRPr="008B42FA" w:rsidRDefault="002911F1" w:rsidP="008B42FA">
      <w:pPr>
        <w:pStyle w:val="a3"/>
        <w:numPr>
          <w:ilvl w:val="0"/>
          <w:numId w:val="4"/>
        </w:numPr>
        <w:tabs>
          <w:tab w:val="left" w:pos="284"/>
          <w:tab w:val="left" w:pos="286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hAnsi="Times New Roman" w:cs="Times New Roman"/>
          <w:sz w:val="24"/>
          <w:szCs w:val="24"/>
        </w:rPr>
        <w:t>Перевод обучающихся из Школы в другие организации, осуществляющие образовательную деятельность</w:t>
      </w:r>
    </w:p>
    <w:p w:rsidR="002547D2" w:rsidRPr="008B42FA" w:rsidRDefault="00597352" w:rsidP="008B42FA">
      <w:pPr>
        <w:tabs>
          <w:tab w:val="left" w:pos="284"/>
          <w:tab w:val="left" w:pos="28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2FA">
        <w:rPr>
          <w:rFonts w:ascii="Times New Roman" w:hAnsi="Times New Roman" w:cs="Times New Roman"/>
          <w:sz w:val="24"/>
          <w:szCs w:val="24"/>
        </w:rPr>
        <w:t>Перевод обучающихся из Школы</w:t>
      </w:r>
      <w:r w:rsidR="0098782F" w:rsidRPr="008B42FA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</w:t>
      </w:r>
      <w:r w:rsidRPr="008B42FA">
        <w:rPr>
          <w:rFonts w:ascii="Times New Roman" w:hAnsi="Times New Roman" w:cs="Times New Roman"/>
          <w:sz w:val="24"/>
          <w:szCs w:val="24"/>
        </w:rPr>
        <w:t xml:space="preserve">, организуется в соответствии с </w:t>
      </w:r>
      <w:hyperlink r:id="rId8" w:history="1">
        <w:r w:rsidR="002547D2" w:rsidRPr="008B42FA">
          <w:rPr>
            <w:rStyle w:val="ac"/>
            <w:rFonts w:eastAsiaTheme="minorEastAsia"/>
            <w:color w:val="auto"/>
            <w:sz w:val="24"/>
            <w:szCs w:val="24"/>
          </w:rPr>
          <w:t>Приказ</w:t>
        </w:r>
        <w:r w:rsidRPr="008B42FA">
          <w:rPr>
            <w:rStyle w:val="ac"/>
            <w:rFonts w:eastAsiaTheme="minorEastAsia"/>
            <w:color w:val="auto"/>
            <w:sz w:val="24"/>
            <w:szCs w:val="24"/>
          </w:rPr>
          <w:t>ом</w:t>
        </w:r>
        <w:r w:rsidR="002547D2" w:rsidRPr="008B42FA">
          <w:rPr>
            <w:rStyle w:val="ac"/>
            <w:rFonts w:eastAsiaTheme="minorEastAsia"/>
            <w:color w:val="auto"/>
            <w:sz w:val="24"/>
            <w:szCs w:val="24"/>
          </w:rPr>
          <w:t xml:space="preserve"> Министерства образования и науки Р</w:t>
        </w:r>
        <w:r w:rsidRPr="008B42FA">
          <w:rPr>
            <w:rStyle w:val="ac"/>
            <w:rFonts w:eastAsiaTheme="minorEastAsia"/>
            <w:color w:val="auto"/>
            <w:sz w:val="24"/>
            <w:szCs w:val="24"/>
          </w:rPr>
          <w:t xml:space="preserve">оссийской </w:t>
        </w:r>
        <w:r w:rsidR="002547D2" w:rsidRPr="008B42FA">
          <w:rPr>
            <w:rStyle w:val="ac"/>
            <w:rFonts w:eastAsiaTheme="minorEastAsia"/>
            <w:color w:val="auto"/>
            <w:sz w:val="24"/>
            <w:szCs w:val="24"/>
          </w:rPr>
          <w:t>Ф</w:t>
        </w:r>
        <w:r w:rsidRPr="008B42FA">
          <w:rPr>
            <w:rStyle w:val="ac"/>
            <w:rFonts w:eastAsiaTheme="minorEastAsia"/>
            <w:color w:val="auto"/>
            <w:sz w:val="24"/>
            <w:szCs w:val="24"/>
          </w:rPr>
          <w:t>едерации от 12 марта 2014г. № 177«</w:t>
        </w:r>
        <w:r w:rsidR="002547D2" w:rsidRPr="008B42FA">
          <w:rPr>
            <w:rStyle w:val="ac"/>
            <w:rFonts w:eastAsiaTheme="minorEastAsia"/>
            <w:color w:val="auto"/>
            <w:sz w:val="24"/>
            <w:szCs w:val="24"/>
          </w:rPr>
  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B17652" w:rsidRPr="008B42FA">
        <w:rPr>
          <w:rStyle w:val="ac"/>
          <w:rFonts w:eastAsiaTheme="minorEastAsia"/>
          <w:color w:val="auto"/>
          <w:sz w:val="24"/>
          <w:szCs w:val="24"/>
        </w:rPr>
        <w:t>».</w:t>
      </w:r>
    </w:p>
    <w:p w:rsidR="002547D2" w:rsidRPr="008B42FA" w:rsidRDefault="002547D2" w:rsidP="008B42FA">
      <w:pPr>
        <w:tabs>
          <w:tab w:val="left" w:pos="284"/>
          <w:tab w:val="left" w:pos="28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488E" w:rsidRPr="008B42FA" w:rsidRDefault="00B1488E" w:rsidP="008B42FA">
      <w:pPr>
        <w:numPr>
          <w:ilvl w:val="0"/>
          <w:numId w:val="4"/>
        </w:numPr>
        <w:tabs>
          <w:tab w:val="left" w:pos="284"/>
          <w:tab w:val="left" w:pos="426"/>
          <w:tab w:val="left" w:pos="2866"/>
        </w:tabs>
        <w:ind w:left="0" w:firstLine="0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B42FA">
        <w:rPr>
          <w:rFonts w:ascii="Times New Roman" w:eastAsia="Courier New" w:hAnsi="Times New Roman" w:cs="Times New Roman"/>
          <w:bCs/>
          <w:sz w:val="24"/>
          <w:szCs w:val="24"/>
        </w:rPr>
        <w:t>Срок действия Порядка</w:t>
      </w:r>
    </w:p>
    <w:p w:rsidR="00A32559" w:rsidRPr="008B42FA" w:rsidRDefault="00B17652" w:rsidP="008B42FA">
      <w:pPr>
        <w:keepNext/>
        <w:keepLines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2F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1488E" w:rsidRPr="008B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B1488E" w:rsidRPr="008B42FA">
        <w:rPr>
          <w:rFonts w:ascii="Times New Roman" w:hAnsi="Times New Roman" w:cs="Times New Roman"/>
          <w:sz w:val="24"/>
          <w:szCs w:val="24"/>
        </w:rPr>
        <w:t xml:space="preserve">Настоящий Порядок действителен со дня утверждения приказом </w:t>
      </w:r>
      <w:r w:rsidR="00121510" w:rsidRPr="008B42F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1488E" w:rsidRPr="008B42FA">
        <w:rPr>
          <w:rFonts w:ascii="Times New Roman" w:hAnsi="Times New Roman" w:cs="Times New Roman"/>
          <w:sz w:val="24"/>
          <w:szCs w:val="24"/>
        </w:rPr>
        <w:t xml:space="preserve">Школы до отмены его действия или замены новым, </w:t>
      </w:r>
      <w:r w:rsidR="00B1488E" w:rsidRPr="008B42FA">
        <w:rPr>
          <w:rFonts w:ascii="Times New Roman" w:hAnsi="Times New Roman" w:cs="Times New Roman"/>
          <w:spacing w:val="-4"/>
          <w:sz w:val="24"/>
          <w:szCs w:val="24"/>
        </w:rPr>
        <w:t xml:space="preserve">размещается на официальном сайте </w:t>
      </w:r>
      <w:r w:rsidR="00B1488E" w:rsidRPr="008B42FA">
        <w:rPr>
          <w:rFonts w:ascii="Times New Roman" w:hAnsi="Times New Roman" w:cs="Times New Roman"/>
          <w:sz w:val="24"/>
          <w:szCs w:val="24"/>
        </w:rPr>
        <w:t>Школы</w:t>
      </w:r>
      <w:r w:rsidR="00B1488E" w:rsidRPr="008B42F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A32559" w:rsidRPr="008B42FA" w:rsidSect="000975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2B" w:rsidRDefault="002E702B" w:rsidP="00C26429">
      <w:r>
        <w:separator/>
      </w:r>
    </w:p>
  </w:endnote>
  <w:endnote w:type="continuationSeparator" w:id="1">
    <w:p w:rsidR="002E702B" w:rsidRDefault="002E702B" w:rsidP="00C2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EF" w:rsidRDefault="009D7AEF">
    <w:pPr>
      <w:pStyle w:val="aa"/>
      <w:jc w:val="right"/>
    </w:pPr>
  </w:p>
  <w:p w:rsidR="00C26429" w:rsidRDefault="00C264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2B" w:rsidRDefault="002E702B" w:rsidP="00C26429">
      <w:r>
        <w:separator/>
      </w:r>
    </w:p>
  </w:footnote>
  <w:footnote w:type="continuationSeparator" w:id="1">
    <w:p w:rsidR="002E702B" w:rsidRDefault="002E702B" w:rsidP="00C2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B16080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F6218F0"/>
    <w:multiLevelType w:val="hybridMultilevel"/>
    <w:tmpl w:val="9FEA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2C7"/>
    <w:multiLevelType w:val="multilevel"/>
    <w:tmpl w:val="6C5EEF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">
    <w:nsid w:val="648C0E46"/>
    <w:multiLevelType w:val="multilevel"/>
    <w:tmpl w:val="45C04EA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EE7508F"/>
    <w:multiLevelType w:val="multilevel"/>
    <w:tmpl w:val="89040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744"/>
    <w:rsid w:val="0003282B"/>
    <w:rsid w:val="00035A0A"/>
    <w:rsid w:val="00090FBF"/>
    <w:rsid w:val="000953F1"/>
    <w:rsid w:val="000975CB"/>
    <w:rsid w:val="00121510"/>
    <w:rsid w:val="00123C6D"/>
    <w:rsid w:val="001A374E"/>
    <w:rsid w:val="001D3C02"/>
    <w:rsid w:val="001E3873"/>
    <w:rsid w:val="00200EE6"/>
    <w:rsid w:val="002547D2"/>
    <w:rsid w:val="0026248A"/>
    <w:rsid w:val="002815C4"/>
    <w:rsid w:val="002911F1"/>
    <w:rsid w:val="00296F64"/>
    <w:rsid w:val="002D256E"/>
    <w:rsid w:val="002E3256"/>
    <w:rsid w:val="002E702B"/>
    <w:rsid w:val="00326A2A"/>
    <w:rsid w:val="003421D3"/>
    <w:rsid w:val="00380F7F"/>
    <w:rsid w:val="003C0B6D"/>
    <w:rsid w:val="003D4E69"/>
    <w:rsid w:val="003E06E1"/>
    <w:rsid w:val="003E1D44"/>
    <w:rsid w:val="003E3F2C"/>
    <w:rsid w:val="003E7070"/>
    <w:rsid w:val="00403C30"/>
    <w:rsid w:val="00405D63"/>
    <w:rsid w:val="00424E19"/>
    <w:rsid w:val="00443910"/>
    <w:rsid w:val="0047528E"/>
    <w:rsid w:val="00487E83"/>
    <w:rsid w:val="004B78BA"/>
    <w:rsid w:val="004F26BC"/>
    <w:rsid w:val="00597352"/>
    <w:rsid w:val="005D0E94"/>
    <w:rsid w:val="006D77AA"/>
    <w:rsid w:val="006E1561"/>
    <w:rsid w:val="007166DB"/>
    <w:rsid w:val="00721257"/>
    <w:rsid w:val="00753CB2"/>
    <w:rsid w:val="0075783D"/>
    <w:rsid w:val="00776756"/>
    <w:rsid w:val="00791D13"/>
    <w:rsid w:val="007C1E65"/>
    <w:rsid w:val="007D647F"/>
    <w:rsid w:val="007E0C98"/>
    <w:rsid w:val="007E5EC3"/>
    <w:rsid w:val="007F01F7"/>
    <w:rsid w:val="007F0CE1"/>
    <w:rsid w:val="00846744"/>
    <w:rsid w:val="00850083"/>
    <w:rsid w:val="00893B17"/>
    <w:rsid w:val="008A3B11"/>
    <w:rsid w:val="008A3FF8"/>
    <w:rsid w:val="008B42FA"/>
    <w:rsid w:val="008E67CF"/>
    <w:rsid w:val="008F5D79"/>
    <w:rsid w:val="00930DBC"/>
    <w:rsid w:val="009443EA"/>
    <w:rsid w:val="009478FF"/>
    <w:rsid w:val="0098639B"/>
    <w:rsid w:val="0098782F"/>
    <w:rsid w:val="009B3E47"/>
    <w:rsid w:val="009C0264"/>
    <w:rsid w:val="009D7AEF"/>
    <w:rsid w:val="00A22745"/>
    <w:rsid w:val="00A22DA9"/>
    <w:rsid w:val="00A32559"/>
    <w:rsid w:val="00A37469"/>
    <w:rsid w:val="00A423AD"/>
    <w:rsid w:val="00A43370"/>
    <w:rsid w:val="00A52F3F"/>
    <w:rsid w:val="00A926D4"/>
    <w:rsid w:val="00AA0E4F"/>
    <w:rsid w:val="00AA2E0E"/>
    <w:rsid w:val="00AB450E"/>
    <w:rsid w:val="00AC131C"/>
    <w:rsid w:val="00AD03A7"/>
    <w:rsid w:val="00AF6151"/>
    <w:rsid w:val="00B1488E"/>
    <w:rsid w:val="00B17652"/>
    <w:rsid w:val="00B27085"/>
    <w:rsid w:val="00B3173D"/>
    <w:rsid w:val="00B45A82"/>
    <w:rsid w:val="00B60878"/>
    <w:rsid w:val="00BD6F41"/>
    <w:rsid w:val="00C26429"/>
    <w:rsid w:val="00C6285A"/>
    <w:rsid w:val="00C954F9"/>
    <w:rsid w:val="00C971D8"/>
    <w:rsid w:val="00CB1912"/>
    <w:rsid w:val="00CD31B8"/>
    <w:rsid w:val="00CD64CD"/>
    <w:rsid w:val="00D115E2"/>
    <w:rsid w:val="00D22AFF"/>
    <w:rsid w:val="00D2508C"/>
    <w:rsid w:val="00D26BE2"/>
    <w:rsid w:val="00D36CB4"/>
    <w:rsid w:val="00D76212"/>
    <w:rsid w:val="00DA1AF0"/>
    <w:rsid w:val="00DA35AE"/>
    <w:rsid w:val="00DB1D3B"/>
    <w:rsid w:val="00DC0832"/>
    <w:rsid w:val="00DC0E99"/>
    <w:rsid w:val="00DC1E5B"/>
    <w:rsid w:val="00E01C4B"/>
    <w:rsid w:val="00E0755C"/>
    <w:rsid w:val="00E31E33"/>
    <w:rsid w:val="00E35CD3"/>
    <w:rsid w:val="00E570A8"/>
    <w:rsid w:val="00E61BE7"/>
    <w:rsid w:val="00E768D1"/>
    <w:rsid w:val="00EA1062"/>
    <w:rsid w:val="00EC7C15"/>
    <w:rsid w:val="00ED492F"/>
    <w:rsid w:val="00EE7709"/>
    <w:rsid w:val="00F00A0E"/>
    <w:rsid w:val="00F030EA"/>
    <w:rsid w:val="00F06A5B"/>
    <w:rsid w:val="00F1363C"/>
    <w:rsid w:val="00F45D76"/>
    <w:rsid w:val="00F62D14"/>
    <w:rsid w:val="00F67625"/>
    <w:rsid w:val="00F721FF"/>
    <w:rsid w:val="00F84E1C"/>
    <w:rsid w:val="00F93167"/>
    <w:rsid w:val="00FA3C5F"/>
    <w:rsid w:val="00FB095C"/>
    <w:rsid w:val="00FB5E98"/>
    <w:rsid w:val="00FD4613"/>
    <w:rsid w:val="00FE66DA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B"/>
  </w:style>
  <w:style w:type="paragraph" w:styleId="1">
    <w:name w:val="heading 1"/>
    <w:basedOn w:val="a"/>
    <w:next w:val="a"/>
    <w:link w:val="10"/>
    <w:uiPriority w:val="99"/>
    <w:qFormat/>
    <w:rsid w:val="002547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3"/>
    <w:pPr>
      <w:ind w:left="720"/>
      <w:contextualSpacing/>
    </w:pPr>
  </w:style>
  <w:style w:type="paragraph" w:styleId="a4">
    <w:name w:val="Normal (Web)"/>
    <w:basedOn w:val="a"/>
    <w:unhideWhenUsed/>
    <w:rsid w:val="00A5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D3B"/>
    <w:pPr>
      <w:suppressAutoHyphens/>
      <w:spacing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0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7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2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6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429"/>
  </w:style>
  <w:style w:type="paragraph" w:styleId="aa">
    <w:name w:val="footer"/>
    <w:basedOn w:val="a"/>
    <w:link w:val="ab"/>
    <w:uiPriority w:val="99"/>
    <w:unhideWhenUsed/>
    <w:rsid w:val="00C26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429"/>
  </w:style>
  <w:style w:type="character" w:customStyle="1" w:styleId="10">
    <w:name w:val="Заголовок 1 Знак"/>
    <w:basedOn w:val="a0"/>
    <w:link w:val="1"/>
    <w:uiPriority w:val="99"/>
    <w:rsid w:val="002547D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547D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5379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2018-02-14T17:32:00Z</cp:lastPrinted>
  <dcterms:created xsi:type="dcterms:W3CDTF">2016-11-10T06:10:00Z</dcterms:created>
  <dcterms:modified xsi:type="dcterms:W3CDTF">2018-03-05T17:52:00Z</dcterms:modified>
</cp:coreProperties>
</file>